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BB" w:rsidRPr="001530BB" w:rsidRDefault="001530BB" w:rsidP="001530BB">
      <w:pPr>
        <w:spacing w:before="480"/>
        <w:jc w:val="center"/>
        <w:rPr>
          <w:rFonts w:asciiTheme="minorHAnsi" w:hAnsiTheme="minorHAnsi" w:cstheme="minorHAnsi"/>
          <w:b/>
        </w:rPr>
      </w:pPr>
      <w:r w:rsidRPr="001530BB">
        <w:rPr>
          <w:rFonts w:asciiTheme="minorHAnsi" w:hAnsiTheme="minorHAnsi" w:cstheme="minorHAnsi"/>
          <w:b/>
        </w:rPr>
        <w:t>Wyatt Partners Recognized as “Lawyer of the Year”</w:t>
      </w:r>
      <w:r w:rsidRPr="001530BB">
        <w:rPr>
          <w:rFonts w:asciiTheme="minorHAnsi" w:hAnsiTheme="minorHAnsi" w:cstheme="minorHAnsi"/>
          <w:b/>
        </w:rPr>
        <w:br/>
        <w:t xml:space="preserve">by </w:t>
      </w:r>
      <w:r w:rsidRPr="001530BB">
        <w:rPr>
          <w:rFonts w:asciiTheme="minorHAnsi" w:hAnsiTheme="minorHAnsi" w:cstheme="minorHAnsi"/>
          <w:b/>
          <w:i/>
        </w:rPr>
        <w:t>Best Lawyers</w:t>
      </w:r>
      <w:r w:rsidRPr="001530BB">
        <w:rPr>
          <w:rFonts w:asciiTheme="minorHAnsi" w:hAnsiTheme="minorHAnsi" w:cstheme="minorHAnsi"/>
          <w:b/>
        </w:rPr>
        <w:t>® 2023 Edition</w:t>
      </w:r>
    </w:p>
    <w:p w:rsidR="001530BB" w:rsidRPr="001530BB" w:rsidRDefault="001530BB" w:rsidP="001530BB">
      <w:pPr>
        <w:spacing w:after="120"/>
        <w:rPr>
          <w:rFonts w:asciiTheme="minorHAnsi" w:hAnsiTheme="minorHAnsi" w:cstheme="minorHAnsi"/>
          <w:b/>
        </w:rPr>
      </w:pPr>
    </w:p>
    <w:p w:rsidR="001530BB" w:rsidRPr="001530BB" w:rsidRDefault="001530BB" w:rsidP="001530BB">
      <w:pPr>
        <w:spacing w:after="240" w:line="360" w:lineRule="auto"/>
        <w:rPr>
          <w:rFonts w:asciiTheme="minorHAnsi" w:hAnsiTheme="minorHAnsi" w:cstheme="minorHAnsi"/>
        </w:rPr>
      </w:pPr>
      <w:r w:rsidRPr="001530BB">
        <w:rPr>
          <w:rFonts w:asciiTheme="minorHAnsi" w:hAnsiTheme="minorHAnsi" w:cstheme="minorHAnsi"/>
          <w:b/>
        </w:rPr>
        <w:t>August 18, 2020.</w:t>
      </w:r>
      <w:r w:rsidRPr="001530BB">
        <w:rPr>
          <w:rFonts w:asciiTheme="minorHAnsi" w:hAnsiTheme="minorHAnsi" w:cstheme="minorHAnsi"/>
        </w:rPr>
        <w:t xml:space="preserve">  Wyatt, Tarrant &amp; Combs, LLP is pleased to announce that fourteen of its lawyers have been recognized in their respective practice areas by </w:t>
      </w:r>
      <w:r w:rsidRPr="001530BB">
        <w:rPr>
          <w:rFonts w:asciiTheme="minorHAnsi" w:hAnsiTheme="minorHAnsi" w:cstheme="minorHAnsi"/>
          <w:i/>
        </w:rPr>
        <w:t>Best Lawyers</w:t>
      </w:r>
      <w:r w:rsidRPr="001530BB">
        <w:rPr>
          <w:rFonts w:asciiTheme="minorHAnsi" w:hAnsiTheme="minorHAnsi" w:cstheme="minorHAnsi"/>
        </w:rPr>
        <w:t xml:space="preserve">® as “Lawyers of the Year” for the publication’s 2023 edition.  </w:t>
      </w:r>
      <w:r w:rsidRPr="001530BB">
        <w:rPr>
          <w:rFonts w:asciiTheme="minorHAnsi" w:hAnsiTheme="minorHAnsi" w:cstheme="minorHAnsi"/>
          <w:i/>
        </w:rPr>
        <w:t>Best Lawyers</w:t>
      </w:r>
      <w:r w:rsidRPr="001530BB">
        <w:rPr>
          <w:rFonts w:asciiTheme="minorHAnsi" w:hAnsiTheme="minorHAnsi" w:cstheme="minorHAnsi"/>
        </w:rPr>
        <w:t>® is the oldest and most respected peer-review publication in the legal profession.  Only one lawyer in each practice area in a given community is honored as the “Lawyer of the Year.”</w:t>
      </w:r>
    </w:p>
    <w:p w:rsidR="001530BB" w:rsidRPr="001530BB" w:rsidRDefault="001530BB" w:rsidP="001530BB">
      <w:pPr>
        <w:spacing w:after="120" w:line="360" w:lineRule="auto"/>
        <w:rPr>
          <w:rFonts w:asciiTheme="minorHAnsi" w:hAnsiTheme="minorHAnsi" w:cstheme="minorHAnsi"/>
          <w:bCs/>
        </w:rPr>
      </w:pPr>
      <w:r w:rsidRPr="001530BB">
        <w:rPr>
          <w:rFonts w:asciiTheme="minorHAnsi" w:hAnsiTheme="minorHAnsi" w:cstheme="minorHAnsi"/>
          <w:b/>
          <w:bCs/>
        </w:rPr>
        <w:t>Douglas M. A</w:t>
      </w:r>
      <w:bookmarkStart w:id="0" w:name="_GoBack"/>
      <w:bookmarkEnd w:id="0"/>
      <w:r w:rsidRPr="001530BB">
        <w:rPr>
          <w:rFonts w:asciiTheme="minorHAnsi" w:hAnsiTheme="minorHAnsi" w:cstheme="minorHAnsi"/>
          <w:b/>
          <w:bCs/>
        </w:rPr>
        <w:t>lrutz:</w:t>
      </w:r>
      <w:r w:rsidRPr="001530BB">
        <w:rPr>
          <w:rFonts w:asciiTheme="minorHAnsi" w:hAnsiTheme="minorHAnsi" w:cstheme="minorHAnsi"/>
          <w:bCs/>
        </w:rPr>
        <w:t xml:space="preserve"> – Bankruptcy and creditor Debtor Rights / Insolvency and Reorganization Law – Memphis</w:t>
      </w:r>
    </w:p>
    <w:p w:rsidR="001530BB" w:rsidRPr="001530BB" w:rsidRDefault="001530BB" w:rsidP="001530BB">
      <w:pPr>
        <w:spacing w:after="120" w:line="360" w:lineRule="auto"/>
        <w:rPr>
          <w:rFonts w:asciiTheme="minorHAnsi" w:hAnsiTheme="minorHAnsi" w:cstheme="minorHAnsi"/>
          <w:bCs/>
        </w:rPr>
      </w:pPr>
      <w:r w:rsidRPr="001530BB">
        <w:rPr>
          <w:rFonts w:asciiTheme="minorHAnsi" w:hAnsiTheme="minorHAnsi" w:cstheme="minorHAnsi"/>
          <w:b/>
          <w:bCs/>
        </w:rPr>
        <w:t xml:space="preserve">Carole D. Christian:  </w:t>
      </w:r>
      <w:r w:rsidRPr="001530BB">
        <w:rPr>
          <w:rFonts w:asciiTheme="minorHAnsi" w:hAnsiTheme="minorHAnsi" w:cstheme="minorHAnsi"/>
          <w:bCs/>
        </w:rPr>
        <w:t>Administrative / Regulatory Law – Louisville</w:t>
      </w:r>
    </w:p>
    <w:p w:rsidR="001530BB" w:rsidRPr="001530BB" w:rsidRDefault="001530BB" w:rsidP="001530BB">
      <w:pPr>
        <w:spacing w:after="120" w:line="360" w:lineRule="auto"/>
        <w:rPr>
          <w:rFonts w:asciiTheme="minorHAnsi" w:hAnsiTheme="minorHAnsi" w:cstheme="minorHAnsi"/>
          <w:bCs/>
        </w:rPr>
      </w:pPr>
      <w:r w:rsidRPr="001530BB">
        <w:rPr>
          <w:rFonts w:asciiTheme="minorHAnsi" w:hAnsiTheme="minorHAnsi" w:cstheme="minorHAnsi"/>
          <w:b/>
          <w:bCs/>
        </w:rPr>
        <w:t>Karen J. Greenwell:</w:t>
      </w:r>
      <w:r w:rsidRPr="001530BB">
        <w:rPr>
          <w:rFonts w:asciiTheme="minorHAnsi" w:hAnsiTheme="minorHAnsi" w:cstheme="minorHAnsi"/>
          <w:bCs/>
        </w:rPr>
        <w:t xml:space="preserve">  Natural Resources Law - Lexington</w:t>
      </w:r>
    </w:p>
    <w:p w:rsidR="001530BB" w:rsidRPr="001530BB" w:rsidRDefault="001530BB" w:rsidP="001530BB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1530BB">
        <w:rPr>
          <w:rFonts w:asciiTheme="minorHAnsi" w:hAnsiTheme="minorHAnsi" w:cstheme="minorHAnsi"/>
          <w:b/>
          <w:bCs/>
        </w:rPr>
        <w:t xml:space="preserve">Robert A. Heath:  </w:t>
      </w:r>
      <w:r w:rsidRPr="001530BB">
        <w:rPr>
          <w:rFonts w:asciiTheme="minorHAnsi" w:hAnsiTheme="minorHAnsi" w:cstheme="minorHAnsi"/>
          <w:bCs/>
        </w:rPr>
        <w:t>Corporate Law - Louisville</w:t>
      </w:r>
    </w:p>
    <w:p w:rsidR="001530BB" w:rsidRPr="001530BB" w:rsidRDefault="001530BB" w:rsidP="001530BB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1530BB">
        <w:rPr>
          <w:rFonts w:asciiTheme="minorHAnsi" w:hAnsiTheme="minorHAnsi" w:cstheme="minorHAnsi"/>
          <w:b/>
          <w:bCs/>
        </w:rPr>
        <w:t xml:space="preserve">H. Carl Horneman:  </w:t>
      </w:r>
      <w:r w:rsidRPr="001530BB">
        <w:rPr>
          <w:rFonts w:asciiTheme="minorHAnsi" w:hAnsiTheme="minorHAnsi" w:cstheme="minorHAnsi"/>
          <w:bCs/>
        </w:rPr>
        <w:t>Environmental Law - Louisville</w:t>
      </w:r>
    </w:p>
    <w:p w:rsidR="001530BB" w:rsidRPr="001530BB" w:rsidRDefault="001530BB" w:rsidP="001530BB">
      <w:pPr>
        <w:spacing w:after="360"/>
        <w:rPr>
          <w:rFonts w:asciiTheme="minorHAnsi" w:hAnsiTheme="minorHAnsi" w:cstheme="minorHAnsi"/>
          <w:bCs/>
        </w:rPr>
      </w:pPr>
      <w:r w:rsidRPr="001530BB">
        <w:rPr>
          <w:rFonts w:asciiTheme="minorHAnsi" w:hAnsiTheme="minorHAnsi" w:cstheme="minorHAnsi"/>
          <w:b/>
          <w:bCs/>
        </w:rPr>
        <w:t xml:space="preserve">Byron E. Leet:  </w:t>
      </w:r>
      <w:r w:rsidRPr="001530BB">
        <w:rPr>
          <w:rFonts w:asciiTheme="minorHAnsi" w:hAnsiTheme="minorHAnsi" w:cstheme="minorHAnsi"/>
          <w:bCs/>
        </w:rPr>
        <w:t>Bet-the-Company Litigation – Louisville</w:t>
      </w:r>
    </w:p>
    <w:p w:rsidR="001530BB" w:rsidRPr="001530BB" w:rsidRDefault="001530BB" w:rsidP="001530BB">
      <w:pPr>
        <w:spacing w:after="360"/>
        <w:rPr>
          <w:rFonts w:asciiTheme="minorHAnsi" w:hAnsiTheme="minorHAnsi" w:cstheme="minorHAnsi"/>
          <w:bCs/>
        </w:rPr>
      </w:pPr>
      <w:r w:rsidRPr="001530BB">
        <w:rPr>
          <w:rFonts w:asciiTheme="minorHAnsi" w:hAnsiTheme="minorHAnsi" w:cstheme="minorHAnsi"/>
          <w:b/>
          <w:bCs/>
        </w:rPr>
        <w:t>Mark T. MacDonald:</w:t>
      </w:r>
      <w:r w:rsidRPr="001530BB">
        <w:rPr>
          <w:rFonts w:asciiTheme="minorHAnsi" w:hAnsiTheme="minorHAnsi" w:cstheme="minorHAnsi"/>
          <w:bCs/>
        </w:rPr>
        <w:t xml:space="preserve">  Trusts and Estates – Lexington</w:t>
      </w:r>
    </w:p>
    <w:p w:rsidR="001530BB" w:rsidRPr="001530BB" w:rsidRDefault="001530BB" w:rsidP="001530BB">
      <w:pPr>
        <w:spacing w:after="360"/>
        <w:rPr>
          <w:rFonts w:asciiTheme="minorHAnsi" w:hAnsiTheme="minorHAnsi" w:cstheme="minorHAnsi"/>
          <w:bCs/>
        </w:rPr>
      </w:pPr>
      <w:r w:rsidRPr="001530BB">
        <w:rPr>
          <w:rFonts w:asciiTheme="minorHAnsi" w:hAnsiTheme="minorHAnsi" w:cstheme="minorHAnsi"/>
          <w:b/>
          <w:bCs/>
        </w:rPr>
        <w:t>W. Craig Robertson:</w:t>
      </w:r>
      <w:r w:rsidRPr="001530BB">
        <w:rPr>
          <w:rFonts w:asciiTheme="minorHAnsi" w:hAnsiTheme="minorHAnsi" w:cstheme="minorHAnsi"/>
          <w:bCs/>
        </w:rPr>
        <w:t xml:space="preserve">  Litigation – Banking and Finance - Lexington</w:t>
      </w:r>
    </w:p>
    <w:p w:rsidR="001530BB" w:rsidRPr="001530BB" w:rsidRDefault="001530BB" w:rsidP="001530BB">
      <w:pPr>
        <w:spacing w:after="360"/>
        <w:rPr>
          <w:rFonts w:asciiTheme="minorHAnsi" w:hAnsiTheme="minorHAnsi" w:cstheme="minorHAnsi"/>
          <w:bCs/>
        </w:rPr>
      </w:pPr>
      <w:r w:rsidRPr="001530BB">
        <w:rPr>
          <w:rFonts w:asciiTheme="minorHAnsi" w:hAnsiTheme="minorHAnsi" w:cstheme="minorHAnsi"/>
          <w:b/>
          <w:bCs/>
        </w:rPr>
        <w:t>Mark Vorder-Bruegge, Jr.</w:t>
      </w:r>
      <w:r w:rsidRPr="001530BB">
        <w:rPr>
          <w:rFonts w:asciiTheme="minorHAnsi" w:hAnsiTheme="minorHAnsi" w:cstheme="minorHAnsi"/>
          <w:bCs/>
        </w:rPr>
        <w:t>:  Litigation – Securities – Memphis</w:t>
      </w:r>
    </w:p>
    <w:p w:rsidR="001530BB" w:rsidRPr="001530BB" w:rsidRDefault="001530BB" w:rsidP="001530BB">
      <w:pPr>
        <w:spacing w:after="360"/>
        <w:rPr>
          <w:rFonts w:asciiTheme="minorHAnsi" w:hAnsiTheme="minorHAnsi" w:cstheme="minorHAnsi"/>
          <w:bCs/>
        </w:rPr>
      </w:pPr>
      <w:r w:rsidRPr="001530BB">
        <w:rPr>
          <w:rFonts w:asciiTheme="minorHAnsi" w:hAnsiTheme="minorHAnsi" w:cstheme="minorHAnsi"/>
          <w:b/>
          <w:bCs/>
        </w:rPr>
        <w:lastRenderedPageBreak/>
        <w:t>John Knox Walkup:</w:t>
      </w:r>
      <w:r w:rsidRPr="001530BB">
        <w:rPr>
          <w:rFonts w:asciiTheme="minorHAnsi" w:hAnsiTheme="minorHAnsi" w:cstheme="minorHAnsi"/>
          <w:bCs/>
        </w:rPr>
        <w:t xml:space="preserve">  Litigation – Regulatory Enforcement (SEC, Telecom, Energy) - Nashville</w:t>
      </w:r>
    </w:p>
    <w:p w:rsidR="001530BB" w:rsidRPr="001530BB" w:rsidRDefault="001530BB" w:rsidP="001530BB">
      <w:pPr>
        <w:spacing w:after="360"/>
        <w:rPr>
          <w:rFonts w:asciiTheme="minorHAnsi" w:hAnsiTheme="minorHAnsi" w:cstheme="minorHAnsi"/>
          <w:bCs/>
        </w:rPr>
      </w:pPr>
      <w:r w:rsidRPr="001530BB">
        <w:rPr>
          <w:rFonts w:asciiTheme="minorHAnsi" w:hAnsiTheme="minorHAnsi" w:cstheme="minorHAnsi"/>
          <w:b/>
          <w:bCs/>
        </w:rPr>
        <w:t>Mickey T. Webster:</w:t>
      </w:r>
      <w:r w:rsidRPr="001530BB">
        <w:rPr>
          <w:rFonts w:asciiTheme="minorHAnsi" w:hAnsiTheme="minorHAnsi" w:cstheme="minorHAnsi"/>
          <w:bCs/>
        </w:rPr>
        <w:t xml:space="preserve">  Energy Law - Lexington</w:t>
      </w:r>
    </w:p>
    <w:p w:rsidR="001530BB" w:rsidRPr="001530BB" w:rsidRDefault="001530BB" w:rsidP="001530BB">
      <w:pPr>
        <w:spacing w:after="360"/>
        <w:rPr>
          <w:rFonts w:ascii="Arial" w:hAnsi="Arial" w:cs="Arial"/>
          <w:bCs/>
        </w:rPr>
      </w:pPr>
      <w:r w:rsidRPr="001530BB">
        <w:rPr>
          <w:rFonts w:asciiTheme="minorHAnsi" w:hAnsiTheme="minorHAnsi" w:cstheme="minorHAnsi"/>
          <w:b/>
          <w:bCs/>
        </w:rPr>
        <w:t>Matthew Williams:</w:t>
      </w:r>
      <w:r w:rsidRPr="001530BB">
        <w:rPr>
          <w:rFonts w:asciiTheme="minorHAnsi" w:hAnsiTheme="minorHAnsi" w:cstheme="minorHAnsi"/>
          <w:bCs/>
        </w:rPr>
        <w:t xml:space="preserve">  Copyright Law - Louisville</w:t>
      </w:r>
    </w:p>
    <w:p w:rsidR="001530BB" w:rsidRDefault="001530BB" w:rsidP="001530BB">
      <w:pPr>
        <w:spacing w:after="120" w:line="360" w:lineRule="auto"/>
        <w:rPr>
          <w:rFonts w:ascii="Arial" w:hAnsi="Arial" w:cs="Arial"/>
          <w:bCs/>
        </w:rPr>
      </w:pPr>
      <w:r w:rsidRPr="001530BB">
        <w:rPr>
          <w:rFonts w:ascii="Arial" w:hAnsi="Arial" w:cs="Arial"/>
          <w:b/>
          <w:bCs/>
        </w:rPr>
        <w:t xml:space="preserve">Cynthia W. Young:  </w:t>
      </w:r>
      <w:r w:rsidRPr="001530BB">
        <w:rPr>
          <w:rFonts w:ascii="Arial" w:hAnsi="Arial" w:cs="Arial"/>
          <w:bCs/>
        </w:rPr>
        <w:t>Securities / Capital Markets Law – Louisville</w:t>
      </w:r>
    </w:p>
    <w:p w:rsidR="001530BB" w:rsidRPr="001530BB" w:rsidRDefault="001530BB" w:rsidP="001530BB">
      <w:pPr>
        <w:spacing w:after="120" w:line="360" w:lineRule="auto"/>
        <w:rPr>
          <w:rFonts w:ascii="Arial" w:hAnsi="Arial" w:cs="Arial"/>
          <w:bCs/>
        </w:rPr>
      </w:pPr>
      <w:r w:rsidRPr="001530BB">
        <w:rPr>
          <w:rFonts w:ascii="Arial" w:hAnsi="Arial" w:cs="Arial"/>
          <w:b/>
          <w:bCs/>
        </w:rPr>
        <w:t>Jeffery M. Yussman:</w:t>
      </w:r>
      <w:r>
        <w:rPr>
          <w:rFonts w:ascii="Arial" w:hAnsi="Arial" w:cs="Arial"/>
          <w:bCs/>
        </w:rPr>
        <w:t xml:space="preserve">  Trusts and Estates - Louisville</w:t>
      </w:r>
    </w:p>
    <w:p w:rsidR="004478DC" w:rsidRDefault="004478DC" w:rsidP="00FC0CE6">
      <w:pPr>
        <w:pStyle w:val="ShortLines"/>
        <w:spacing w:after="0"/>
        <w:jc w:val="center"/>
        <w:rPr>
          <w:rFonts w:asciiTheme="majorHAnsi" w:hAnsiTheme="majorHAnsi" w:cs="Arial"/>
          <w:b/>
        </w:rPr>
      </w:pPr>
    </w:p>
    <w:p w:rsidR="00FC0CE6" w:rsidRPr="004478DC" w:rsidRDefault="00FC0CE6" w:rsidP="00FC0CE6">
      <w:pPr>
        <w:pStyle w:val="ShortLines"/>
        <w:spacing w:after="0"/>
        <w:jc w:val="both"/>
        <w:rPr>
          <w:rFonts w:asciiTheme="minorHAnsi" w:hAnsiTheme="minorHAnsi" w:cstheme="minorHAnsi"/>
        </w:rPr>
      </w:pPr>
      <w:r w:rsidRPr="004478DC">
        <w:rPr>
          <w:rFonts w:asciiTheme="minorHAnsi" w:hAnsiTheme="minorHAnsi" w:cstheme="minorHAnsi"/>
        </w:rPr>
        <w:t xml:space="preserve">Wyatt, Tarrant &amp; Combs, LLP maintains an active national practice with five offices located in Louisville and Lexington, Kentucky; New Albany, Indiana; and Memphis and Nashville, Tennessee.  The firm’s structure and industry-focused practice groups enable efficient and effective delivery of legal services.  Wyatt accomplishes its clients’ goals and objectives by committing </w:t>
      </w:r>
      <w:r w:rsidR="00EC0F55" w:rsidRPr="004478DC">
        <w:rPr>
          <w:rFonts w:asciiTheme="minorHAnsi" w:hAnsiTheme="minorHAnsi" w:cstheme="minorHAnsi"/>
        </w:rPr>
        <w:t>itself</w:t>
      </w:r>
      <w:r w:rsidRPr="004478DC">
        <w:rPr>
          <w:rFonts w:asciiTheme="minorHAnsi" w:hAnsiTheme="minorHAnsi" w:cstheme="minorHAnsi"/>
        </w:rPr>
        <w:t xml:space="preserve"> each day to </w:t>
      </w:r>
      <w:r w:rsidR="00801988">
        <w:rPr>
          <w:rFonts w:asciiTheme="minorHAnsi" w:hAnsiTheme="minorHAnsi" w:cstheme="minorHAnsi"/>
        </w:rPr>
        <w:t>the principle</w:t>
      </w:r>
      <w:r w:rsidRPr="004478DC">
        <w:rPr>
          <w:rFonts w:asciiTheme="minorHAnsi" w:hAnsiTheme="minorHAnsi" w:cstheme="minorHAnsi"/>
        </w:rPr>
        <w:t xml:space="preserve"> of “Your Success Defines Us.”  Wyatt is a founding participant firm in </w:t>
      </w:r>
      <w:hyperlink r:id="rId9" w:history="1">
        <w:r w:rsidRPr="004478DC">
          <w:rPr>
            <w:rStyle w:val="Hyperlink"/>
            <w:rFonts w:asciiTheme="minorHAnsi" w:hAnsiTheme="minorHAnsi" w:cstheme="minorHAnsi"/>
          </w:rPr>
          <w:t>AdvanceLaw</w:t>
        </w:r>
      </w:hyperlink>
      <w:r w:rsidR="00670146" w:rsidRPr="004478DC">
        <w:rPr>
          <w:rFonts w:asciiTheme="minorHAnsi" w:hAnsiTheme="minorHAnsi" w:cstheme="minorHAnsi"/>
        </w:rPr>
        <w:t xml:space="preserve">.  </w:t>
      </w:r>
      <w:r w:rsidRPr="004478DC">
        <w:rPr>
          <w:rFonts w:asciiTheme="minorHAnsi" w:hAnsiTheme="minorHAnsi" w:cstheme="minorHAnsi"/>
        </w:rPr>
        <w:t xml:space="preserve">For more information about the legal counsel Wyatt provides, and its commitment to client service visit </w:t>
      </w:r>
      <w:hyperlink r:id="rId10" w:history="1">
        <w:r w:rsidRPr="004478DC">
          <w:rPr>
            <w:rStyle w:val="Hyperlink"/>
            <w:rFonts w:asciiTheme="minorHAnsi" w:hAnsiTheme="minorHAnsi" w:cstheme="minorHAnsi"/>
          </w:rPr>
          <w:t>wyattfirm.com</w:t>
        </w:r>
      </w:hyperlink>
      <w:r w:rsidRPr="004478DC">
        <w:rPr>
          <w:rFonts w:asciiTheme="minorHAnsi" w:hAnsiTheme="minorHAnsi" w:cstheme="minorHAnsi"/>
        </w:rPr>
        <w:t xml:space="preserve">.  </w:t>
      </w:r>
    </w:p>
    <w:p w:rsidR="00F9783A" w:rsidRPr="004478DC" w:rsidRDefault="00F9783A" w:rsidP="00FC0CE6">
      <w:pPr>
        <w:pStyle w:val="ShortLines"/>
        <w:spacing w:after="0"/>
        <w:jc w:val="both"/>
        <w:rPr>
          <w:rFonts w:asciiTheme="minorHAnsi" w:hAnsiTheme="minorHAnsi" w:cstheme="minorHAnsi"/>
        </w:rPr>
      </w:pPr>
    </w:p>
    <w:p w:rsidR="00F9783A" w:rsidRPr="004478DC" w:rsidRDefault="00F9783A" w:rsidP="00F9783A">
      <w:pPr>
        <w:pStyle w:val="ShortLines"/>
        <w:spacing w:after="0"/>
        <w:rPr>
          <w:rFonts w:asciiTheme="minorHAnsi" w:hAnsiTheme="minorHAnsi" w:cstheme="minorHAnsi"/>
          <w:b/>
        </w:rPr>
      </w:pPr>
      <w:r w:rsidRPr="004478DC">
        <w:rPr>
          <w:rFonts w:asciiTheme="minorHAnsi" w:hAnsiTheme="minorHAnsi" w:cstheme="minorHAnsi"/>
          <w:b/>
        </w:rPr>
        <w:t xml:space="preserve">Contact </w:t>
      </w:r>
    </w:p>
    <w:p w:rsidR="00124C22" w:rsidRPr="004478DC" w:rsidRDefault="00124C22" w:rsidP="00F9783A">
      <w:pPr>
        <w:pStyle w:val="ShortLines"/>
        <w:spacing w:after="0"/>
        <w:rPr>
          <w:rFonts w:asciiTheme="minorHAnsi" w:hAnsiTheme="minorHAnsi" w:cstheme="minorHAnsi"/>
          <w:b/>
        </w:rPr>
      </w:pPr>
    </w:p>
    <w:p w:rsidR="00F9783A" w:rsidRPr="004478DC" w:rsidRDefault="00F9783A" w:rsidP="00F9783A">
      <w:pPr>
        <w:pStyle w:val="ShortLines"/>
        <w:rPr>
          <w:rFonts w:asciiTheme="minorHAnsi" w:hAnsiTheme="minorHAnsi" w:cstheme="minorHAnsi"/>
          <w:b/>
        </w:rPr>
      </w:pPr>
      <w:r w:rsidRPr="004478DC">
        <w:rPr>
          <w:rFonts w:asciiTheme="minorHAnsi" w:hAnsiTheme="minorHAnsi" w:cstheme="minorHAnsi"/>
        </w:rPr>
        <w:t>Andrew J. Payton</w:t>
      </w:r>
    </w:p>
    <w:p w:rsidR="00F9783A" w:rsidRPr="004478DC" w:rsidRDefault="00F9783A" w:rsidP="00F9783A">
      <w:pPr>
        <w:pStyle w:val="ShortLines"/>
        <w:rPr>
          <w:rFonts w:asciiTheme="minorHAnsi" w:hAnsiTheme="minorHAnsi" w:cstheme="minorHAnsi"/>
        </w:rPr>
      </w:pPr>
      <w:r w:rsidRPr="004478DC">
        <w:rPr>
          <w:rFonts w:asciiTheme="minorHAnsi" w:hAnsiTheme="minorHAnsi" w:cstheme="minorHAnsi"/>
        </w:rPr>
        <w:t>Chief Marketing Officer and Director of Recruiting</w:t>
      </w:r>
    </w:p>
    <w:p w:rsidR="00F9783A" w:rsidRPr="004478DC" w:rsidRDefault="00F9783A" w:rsidP="00F9783A">
      <w:pPr>
        <w:pStyle w:val="ShortLines"/>
        <w:rPr>
          <w:rFonts w:asciiTheme="minorHAnsi" w:hAnsiTheme="minorHAnsi" w:cstheme="minorHAnsi"/>
        </w:rPr>
      </w:pPr>
      <w:r w:rsidRPr="004478DC">
        <w:rPr>
          <w:rFonts w:asciiTheme="minorHAnsi" w:hAnsiTheme="minorHAnsi" w:cstheme="minorHAnsi"/>
        </w:rPr>
        <w:t>Wyatt, Tarrant &amp; Combs, LLP</w:t>
      </w:r>
    </w:p>
    <w:p w:rsidR="00F9783A" w:rsidRPr="004478DC" w:rsidRDefault="004967E4" w:rsidP="00F9783A">
      <w:pPr>
        <w:pStyle w:val="ShortLines"/>
        <w:rPr>
          <w:rFonts w:asciiTheme="minorHAnsi" w:hAnsiTheme="minorHAnsi" w:cstheme="minorHAnsi"/>
        </w:rPr>
      </w:pPr>
      <w:r w:rsidRPr="004478DC">
        <w:rPr>
          <w:rFonts w:asciiTheme="minorHAnsi" w:hAnsiTheme="minorHAnsi" w:cstheme="minorHAnsi"/>
        </w:rPr>
        <w:t>400 West Market Street, Suite 2000</w:t>
      </w:r>
    </w:p>
    <w:p w:rsidR="00F9783A" w:rsidRPr="004478DC" w:rsidRDefault="00F9783A" w:rsidP="00F9783A">
      <w:pPr>
        <w:pStyle w:val="ShortLines"/>
        <w:rPr>
          <w:rFonts w:asciiTheme="minorHAnsi" w:hAnsiTheme="minorHAnsi" w:cstheme="minorHAnsi"/>
        </w:rPr>
      </w:pPr>
      <w:r w:rsidRPr="004478DC">
        <w:rPr>
          <w:rFonts w:asciiTheme="minorHAnsi" w:hAnsiTheme="minorHAnsi" w:cstheme="minorHAnsi"/>
        </w:rPr>
        <w:t>Louisville, KY  40202</w:t>
      </w:r>
    </w:p>
    <w:p w:rsidR="00F9783A" w:rsidRPr="00960F09" w:rsidRDefault="00F9783A" w:rsidP="00F9783A">
      <w:pPr>
        <w:pStyle w:val="ShortLines"/>
        <w:rPr>
          <w:rFonts w:ascii="Arial" w:hAnsi="Arial" w:cs="Arial"/>
          <w:bCs/>
        </w:rPr>
      </w:pPr>
      <w:r w:rsidRPr="004478DC">
        <w:rPr>
          <w:rFonts w:asciiTheme="minorHAnsi" w:hAnsiTheme="minorHAnsi" w:cstheme="minorHAnsi"/>
        </w:rPr>
        <w:t>502.562.7160</w:t>
      </w:r>
      <w:r w:rsidRPr="004478DC">
        <w:rPr>
          <w:rFonts w:asciiTheme="minorHAnsi" w:hAnsiTheme="minorHAnsi" w:cstheme="minorHAnsi"/>
        </w:rPr>
        <w:br/>
      </w:r>
      <w:hyperlink r:id="rId11" w:history="1">
        <w:r w:rsidRPr="004478DC">
          <w:rPr>
            <w:rStyle w:val="Hyperlink"/>
            <w:rFonts w:asciiTheme="minorHAnsi" w:hAnsiTheme="minorHAnsi" w:cstheme="minorHAnsi"/>
          </w:rPr>
          <w:t>andrewpayton@wyattfirm.com</w:t>
        </w:r>
      </w:hyperlink>
    </w:p>
    <w:p w:rsidR="001360FE" w:rsidRPr="00960F09" w:rsidRDefault="001360FE">
      <w:pPr>
        <w:pStyle w:val="ShortLines"/>
        <w:spacing w:after="0"/>
        <w:rPr>
          <w:rFonts w:ascii="Arial" w:hAnsi="Arial" w:cs="Arial"/>
        </w:rPr>
      </w:pPr>
    </w:p>
    <w:p w:rsidR="001360FE" w:rsidRPr="00960F09" w:rsidRDefault="001360FE">
      <w:pPr>
        <w:pStyle w:val="ShortLines"/>
        <w:spacing w:after="0"/>
        <w:rPr>
          <w:rFonts w:ascii="Arial" w:hAnsi="Arial" w:cs="Arial"/>
        </w:rPr>
      </w:pPr>
    </w:p>
    <w:p w:rsidR="001360FE" w:rsidRDefault="001360FE">
      <w:pPr>
        <w:pStyle w:val="ShortLines"/>
        <w:spacing w:after="0"/>
        <w:rPr>
          <w:rFonts w:ascii="Arial" w:hAnsi="Arial" w:cs="Arial"/>
        </w:rPr>
      </w:pPr>
    </w:p>
    <w:sdt>
      <w:sdtPr>
        <w:alias w:val="BEC LegalBar File Stamp"/>
        <w:tag w:val="BEC.LegalBar.FileStamp"/>
        <w:id w:val="-1228528758"/>
        <w:placeholder>
          <w:docPart w:val="59B5B04646D6480EB6AC04595DB7384B"/>
        </w:placeholder>
      </w:sdtPr>
      <w:sdtContent>
        <w:p w:rsidR="001530BB" w:rsidRPr="00960F09" w:rsidRDefault="001530BB" w:rsidP="001530BB">
          <w:pPr>
            <w:pStyle w:val="FileStampParagraph"/>
          </w:pPr>
          <w:sdt>
            <w:sdtPr>
              <w:rPr>
                <w:rStyle w:val="FileStampCharacter"/>
              </w:rPr>
              <w:tag w:val="BEC.LegalBar.FileStamp.DocNumber"/>
              <w:id w:val="834352459"/>
              <w:placeholder>
                <w:docPart w:val="3A46A793A4B24F208B5A89CC971B6BB5"/>
              </w:placeholder>
              <w:dataBinding w:prefixMappings="xmlns:ns='http://schemas.beclegal.com/legalbar/filestamp'" w:xpath="ns:filestamp/ns:DocNumber" w:storeItemID="{EEB3AB9A-1C35-4284-A11F-BCEDC1E68208}"/>
              <w:text/>
            </w:sdtPr>
            <w:sdtEndPr>
              <w:rPr>
                <w:rStyle w:val="DefaultParagraphFont"/>
                <w:snapToGrid/>
              </w:rPr>
            </w:sdtEndPr>
            <w:sdtContent>
              <w:r>
                <w:rPr>
                  <w:rStyle w:val="FileStampCharacter"/>
                </w:rPr>
                <w:t>100859159</w:t>
              </w:r>
            </w:sdtContent>
          </w:sdt>
          <w:sdt>
            <w:sdtPr>
              <w:rPr>
                <w:rStyle w:val="FileStampCharacter"/>
              </w:rPr>
              <w:tag w:val="BEC.LegalBar.FileStamp.Text"/>
              <w:id w:val="-2087754700"/>
              <w:placeholder>
                <w:docPart w:val="0E965803628241B6BD7DB4B152401941"/>
              </w:placeholder>
              <w:text/>
            </w:sdtPr>
            <w:sdtContent>
              <w:r w:rsidRPr="001530BB">
                <w:rPr>
                  <w:rStyle w:val="FileStampCharacter"/>
                </w:rPr>
                <w:t>.</w:t>
              </w:r>
            </w:sdtContent>
          </w:sdt>
          <w:sdt>
            <w:sdtPr>
              <w:rPr>
                <w:rStyle w:val="FileStampCharacter"/>
              </w:rPr>
              <w:tag w:val="BEC.LegalBar.FileStamp.Version"/>
              <w:id w:val="-447779350"/>
              <w:placeholder>
                <w:docPart w:val="3F6FDC8B10C0406C8B5D1256DFE1AA50"/>
              </w:placeholder>
              <w:dataBinding w:prefixMappings="xmlns:ns='http://schemas.beclegal.com/legalbar/filestamp'" w:xpath="ns:filestamp/ns:Version" w:storeItemID="{EEB3AB9A-1C35-4284-A11F-BCEDC1E68208}"/>
              <w:text/>
            </w:sdtPr>
            <w:sdtEndPr>
              <w:rPr>
                <w:rStyle w:val="FileStampCharacter"/>
              </w:rPr>
            </w:sdtEndPr>
            <w:sdtContent>
              <w:r>
                <w:rPr>
                  <w:rStyle w:val="FileStampCharacter"/>
                </w:rPr>
                <w:t>1</w:t>
              </w:r>
            </w:sdtContent>
          </w:sdt>
        </w:p>
      </w:sdtContent>
    </w:sdt>
    <w:sectPr w:rsidR="001530BB" w:rsidRPr="00960F0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BB" w:rsidRDefault="001530BB">
      <w:r>
        <w:separator/>
      </w:r>
    </w:p>
  </w:endnote>
  <w:endnote w:type="continuationSeparator" w:id="0">
    <w:p w:rsidR="001530BB" w:rsidRDefault="0015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45" w:rsidRPr="001530BB" w:rsidRDefault="00213345" w:rsidP="00C63845">
    <w:pPr>
      <w:pStyle w:val="Footer"/>
      <w:jc w:val="center"/>
      <w:rPr>
        <w:rFonts w:ascii="Cambria" w:hAnsi="Cambria" w:cs="Calibri"/>
        <w:color w:val="3B6E8F"/>
        <w:sz w:val="16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62875" cy="790575"/>
          <wp:effectExtent l="0" t="0" r="9525" b="952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ss Release Footer -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845" w:rsidRDefault="00C63845" w:rsidP="00C63845">
    <w:pPr>
      <w:rPr>
        <w:rFonts w:ascii="Arial" w:hAnsi="Arial" w:cs="Arial"/>
      </w:rPr>
    </w:pPr>
  </w:p>
  <w:p w:rsidR="00C63845" w:rsidRDefault="00C63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BB" w:rsidRDefault="001530BB">
      <w:r>
        <w:separator/>
      </w:r>
    </w:p>
  </w:footnote>
  <w:footnote w:type="continuationSeparator" w:id="0">
    <w:p w:rsidR="001530BB" w:rsidRDefault="001530BB">
      <w:r>
        <w:separator/>
      </w:r>
    </w:p>
    <w:p w:rsidR="001530BB" w:rsidRDefault="001530BB">
      <w:r>
        <w:t>(…continued)</w:t>
      </w:r>
    </w:p>
    <w:p w:rsidR="001530BB" w:rsidRDefault="001530BB"/>
  </w:footnote>
  <w:footnote w:type="continuationNotice" w:id="1">
    <w:p w:rsidR="001530BB" w:rsidRDefault="001530BB">
      <w:pPr>
        <w:jc w:val="right"/>
      </w:pPr>
      <w:r>
        <w:t>(continued…)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FE" w:rsidRDefault="00124C22">
    <w:pPr>
      <w:pStyle w:val="Header"/>
    </w:pPr>
    <w:r>
      <w:rPr>
        <w:noProof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-285750</wp:posOffset>
          </wp:positionV>
          <wp:extent cx="7762875" cy="72390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9CF8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7A5A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3AD9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78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58DD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4ED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6E2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D4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AA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603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70856"/>
    <w:multiLevelType w:val="multilevel"/>
    <w:tmpl w:val="04090023"/>
    <w:numStyleLink w:val="ArticleSection"/>
  </w:abstractNum>
  <w:abstractNum w:abstractNumId="11" w15:restartNumberingAfterBreak="0">
    <w:nsid w:val="223B6F22"/>
    <w:multiLevelType w:val="multilevel"/>
    <w:tmpl w:val="0409001F"/>
    <w:numStyleLink w:val="111111"/>
  </w:abstractNum>
  <w:abstractNum w:abstractNumId="12" w15:restartNumberingAfterBreak="0">
    <w:nsid w:val="25DE00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E719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E397091"/>
    <w:multiLevelType w:val="multilevel"/>
    <w:tmpl w:val="7A00BDF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  <w:b w:val="0"/>
        <w:u w:val="none"/>
      </w:rPr>
    </w:lvl>
    <w:lvl w:ilvl="2">
      <w:start w:val="1"/>
      <w:numFmt w:val="decimal"/>
      <w:pStyle w:val="Heading3"/>
      <w:lvlText w:val="[%3]"/>
      <w:lvlJc w:val="left"/>
      <w:pPr>
        <w:tabs>
          <w:tab w:val="num" w:pos="2880"/>
        </w:tabs>
        <w:ind w:left="720" w:firstLine="1440"/>
      </w:pPr>
      <w:rPr>
        <w:rFonts w:hint="default"/>
        <w:b w:val="0"/>
        <w:u w:val="none"/>
      </w:rPr>
    </w:lvl>
    <w:lvl w:ilvl="3">
      <w:start w:val="1"/>
      <w:numFmt w:val="lowerLetter"/>
      <w:pStyle w:val="Heading4"/>
      <w:lvlText w:val="[%4]"/>
      <w:lvlJc w:val="left"/>
      <w:pPr>
        <w:tabs>
          <w:tab w:val="num" w:pos="3600"/>
        </w:tabs>
        <w:ind w:left="1440" w:firstLine="1440"/>
      </w:pPr>
      <w:rPr>
        <w:rFonts w:hint="default"/>
        <w:b w:val="0"/>
        <w:u w:val="none"/>
      </w:rPr>
    </w:lvl>
    <w:lvl w:ilvl="4">
      <w:start w:val="1"/>
      <w:numFmt w:val="lowerRoman"/>
      <w:pStyle w:val="Heading5"/>
      <w:lvlText w:val="[%5]"/>
      <w:lvlJc w:val="right"/>
      <w:pPr>
        <w:tabs>
          <w:tab w:val="num" w:pos="4320"/>
        </w:tabs>
        <w:ind w:left="2160" w:firstLine="1440"/>
      </w:pPr>
      <w:rPr>
        <w:rFonts w:hint="default"/>
        <w:b w:val="0"/>
        <w:u w:val="none"/>
      </w:rPr>
    </w:lvl>
    <w:lvl w:ilvl="5">
      <w:start w:val="1"/>
      <w:numFmt w:val="upperLetter"/>
      <w:pStyle w:val="Heading6"/>
      <w:lvlText w:val="[%6]"/>
      <w:lvlJc w:val="left"/>
      <w:pPr>
        <w:tabs>
          <w:tab w:val="num" w:pos="5040"/>
        </w:tabs>
        <w:ind w:left="2880" w:firstLine="1440"/>
      </w:pPr>
      <w:rPr>
        <w:rFonts w:hint="default"/>
        <w:b w:val="0"/>
        <w:u w:val="none"/>
      </w:rPr>
    </w:lvl>
    <w:lvl w:ilvl="6">
      <w:start w:val="1"/>
      <w:numFmt w:val="upperRoman"/>
      <w:pStyle w:val="Heading7"/>
      <w:lvlText w:val="[%7]"/>
      <w:lvlJc w:val="left"/>
      <w:pPr>
        <w:tabs>
          <w:tab w:val="num" w:pos="5760"/>
        </w:tabs>
        <w:ind w:left="3600" w:firstLine="1440"/>
      </w:pPr>
      <w:rPr>
        <w:rFonts w:hint="default"/>
        <w:b w:val="0"/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4320" w:firstLine="1440"/>
      </w:pPr>
      <w:rPr>
        <w:rFonts w:hint="default"/>
        <w:b w:val="0"/>
        <w:u w:val="none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5040" w:firstLine="1440"/>
      </w:pPr>
      <w:rPr>
        <w:rFonts w:hint="default"/>
        <w:b w:val="0"/>
        <w:u w:val="none"/>
      </w:rPr>
    </w:lvl>
  </w:abstractNum>
  <w:abstractNum w:abstractNumId="15" w15:restartNumberingAfterBreak="0">
    <w:nsid w:val="2EF94DC2"/>
    <w:multiLevelType w:val="hybridMultilevel"/>
    <w:tmpl w:val="9F982E1C"/>
    <w:lvl w:ilvl="0" w:tplc="3794BB0C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39C9"/>
    <w:multiLevelType w:val="singleLevel"/>
    <w:tmpl w:val="AC50F95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7D6024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16"/>
  </w:num>
  <w:num w:numId="6">
    <w:abstractNumId w:val="15"/>
  </w:num>
  <w:num w:numId="7">
    <w:abstractNumId w:val="15"/>
  </w:num>
  <w:num w:numId="8">
    <w:abstractNumId w:val="16"/>
  </w:num>
  <w:num w:numId="9">
    <w:abstractNumId w:val="14"/>
  </w:num>
  <w:num w:numId="10">
    <w:abstractNumId w:val="14"/>
  </w:num>
  <w:num w:numId="11">
    <w:abstractNumId w:val="13"/>
  </w:num>
  <w:num w:numId="12">
    <w:abstractNumId w:val="11"/>
  </w:num>
  <w:num w:numId="13">
    <w:abstractNumId w:val="17"/>
  </w:num>
  <w:num w:numId="14">
    <w:abstractNumId w:val="10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BB"/>
    <w:rsid w:val="0010383A"/>
    <w:rsid w:val="00107A74"/>
    <w:rsid w:val="00124C22"/>
    <w:rsid w:val="001360FE"/>
    <w:rsid w:val="001530BB"/>
    <w:rsid w:val="00171F8E"/>
    <w:rsid w:val="00180698"/>
    <w:rsid w:val="00213345"/>
    <w:rsid w:val="00292CA6"/>
    <w:rsid w:val="002B6962"/>
    <w:rsid w:val="0031084D"/>
    <w:rsid w:val="004478DC"/>
    <w:rsid w:val="004768CB"/>
    <w:rsid w:val="004967E4"/>
    <w:rsid w:val="00512AC7"/>
    <w:rsid w:val="00516EA7"/>
    <w:rsid w:val="005D61A3"/>
    <w:rsid w:val="005F36EA"/>
    <w:rsid w:val="00615176"/>
    <w:rsid w:val="00670146"/>
    <w:rsid w:val="006B3973"/>
    <w:rsid w:val="006D4A45"/>
    <w:rsid w:val="006E3FF6"/>
    <w:rsid w:val="00704E35"/>
    <w:rsid w:val="00801988"/>
    <w:rsid w:val="008609C8"/>
    <w:rsid w:val="00884BF5"/>
    <w:rsid w:val="008B4415"/>
    <w:rsid w:val="008F05ED"/>
    <w:rsid w:val="008F49DC"/>
    <w:rsid w:val="00922533"/>
    <w:rsid w:val="00960F09"/>
    <w:rsid w:val="009666D2"/>
    <w:rsid w:val="009C645C"/>
    <w:rsid w:val="00A81F56"/>
    <w:rsid w:val="00AA421F"/>
    <w:rsid w:val="00B04238"/>
    <w:rsid w:val="00B36060"/>
    <w:rsid w:val="00BC50DC"/>
    <w:rsid w:val="00C63845"/>
    <w:rsid w:val="00C8345E"/>
    <w:rsid w:val="00CD1CD2"/>
    <w:rsid w:val="00CD7251"/>
    <w:rsid w:val="00D529DF"/>
    <w:rsid w:val="00D57C8A"/>
    <w:rsid w:val="00D61115"/>
    <w:rsid w:val="00D66D3D"/>
    <w:rsid w:val="00E01235"/>
    <w:rsid w:val="00E347D9"/>
    <w:rsid w:val="00EC0F55"/>
    <w:rsid w:val="00EC1BAD"/>
    <w:rsid w:val="00ED2502"/>
    <w:rsid w:val="00F9783A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8CEB86"/>
  <w15:docId w15:val="{5C0A8D64-D8F1-4D12-A69C-F5FB6129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qFormat/>
    <w:pPr>
      <w:keepNext/>
      <w:numPr>
        <w:numId w:val="10"/>
      </w:numPr>
      <w:spacing w:after="240"/>
      <w:outlineLvl w:val="0"/>
    </w:pPr>
    <w:rPr>
      <w:bCs/>
      <w:snapToGrid w:val="0"/>
    </w:rPr>
  </w:style>
  <w:style w:type="paragraph" w:styleId="Heading2">
    <w:name w:val="heading 2"/>
    <w:basedOn w:val="Normal"/>
    <w:qFormat/>
    <w:pPr>
      <w:keepNext/>
      <w:numPr>
        <w:ilvl w:val="1"/>
        <w:numId w:val="10"/>
      </w:numPr>
      <w:spacing w:after="240"/>
      <w:outlineLvl w:val="1"/>
    </w:pPr>
    <w:rPr>
      <w:bCs/>
      <w:snapToGrid w:val="0"/>
    </w:rPr>
  </w:style>
  <w:style w:type="paragraph" w:styleId="Heading3">
    <w:name w:val="heading 3"/>
    <w:basedOn w:val="Normal"/>
    <w:qFormat/>
    <w:pPr>
      <w:keepNext/>
      <w:numPr>
        <w:ilvl w:val="2"/>
        <w:numId w:val="10"/>
      </w:numPr>
      <w:spacing w:after="240"/>
      <w:outlineLvl w:val="2"/>
    </w:pPr>
    <w:rPr>
      <w:bCs/>
      <w:snapToGrid w:val="0"/>
    </w:rPr>
  </w:style>
  <w:style w:type="paragraph" w:styleId="Heading4">
    <w:name w:val="heading 4"/>
    <w:basedOn w:val="Normal"/>
    <w:qFormat/>
    <w:pPr>
      <w:keepNext/>
      <w:numPr>
        <w:ilvl w:val="3"/>
        <w:numId w:val="10"/>
      </w:numPr>
      <w:spacing w:after="240"/>
      <w:outlineLvl w:val="3"/>
    </w:pPr>
    <w:rPr>
      <w:bCs/>
      <w:snapToGrid w:val="0"/>
    </w:rPr>
  </w:style>
  <w:style w:type="paragraph" w:styleId="Heading5">
    <w:name w:val="heading 5"/>
    <w:basedOn w:val="Normal"/>
    <w:qFormat/>
    <w:pPr>
      <w:numPr>
        <w:ilvl w:val="4"/>
        <w:numId w:val="10"/>
      </w:numPr>
      <w:spacing w:after="240"/>
      <w:outlineLvl w:val="4"/>
    </w:pPr>
    <w:rPr>
      <w:bCs/>
      <w:snapToGrid w:val="0"/>
    </w:rPr>
  </w:style>
  <w:style w:type="paragraph" w:styleId="Heading6">
    <w:name w:val="heading 6"/>
    <w:basedOn w:val="Normal"/>
    <w:qFormat/>
    <w:pPr>
      <w:numPr>
        <w:ilvl w:val="5"/>
        <w:numId w:val="10"/>
      </w:numPr>
      <w:spacing w:after="240"/>
      <w:outlineLvl w:val="5"/>
    </w:pPr>
    <w:rPr>
      <w:bCs/>
      <w:snapToGrid w:val="0"/>
    </w:rPr>
  </w:style>
  <w:style w:type="paragraph" w:styleId="Heading7">
    <w:name w:val="heading 7"/>
    <w:basedOn w:val="Normal"/>
    <w:qFormat/>
    <w:pPr>
      <w:numPr>
        <w:ilvl w:val="6"/>
        <w:numId w:val="10"/>
      </w:numPr>
      <w:spacing w:after="240"/>
      <w:outlineLvl w:val="6"/>
    </w:pPr>
    <w:rPr>
      <w:bCs/>
      <w:snapToGrid w:val="0"/>
    </w:rPr>
  </w:style>
  <w:style w:type="paragraph" w:styleId="Heading8">
    <w:name w:val="heading 8"/>
    <w:basedOn w:val="Normal"/>
    <w:qFormat/>
    <w:pPr>
      <w:numPr>
        <w:ilvl w:val="7"/>
        <w:numId w:val="10"/>
      </w:numPr>
      <w:spacing w:after="240"/>
      <w:outlineLvl w:val="7"/>
    </w:pPr>
    <w:rPr>
      <w:bCs/>
      <w:snapToGrid w:val="0"/>
    </w:rPr>
  </w:style>
  <w:style w:type="paragraph" w:styleId="Heading9">
    <w:name w:val="heading 9"/>
    <w:basedOn w:val="Normal"/>
    <w:qFormat/>
    <w:pPr>
      <w:numPr>
        <w:ilvl w:val="8"/>
        <w:numId w:val="10"/>
      </w:numPr>
      <w:spacing w:after="240"/>
      <w:outlineLvl w:val="8"/>
    </w:pPr>
    <w:rPr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1">
    <w:name w:val="*Body Single 1"/>
    <w:aliases w:val="BS1"/>
    <w:basedOn w:val="Normal"/>
    <w:pPr>
      <w:spacing w:after="240"/>
      <w:ind w:firstLine="1440"/>
    </w:pPr>
  </w:style>
  <w:style w:type="paragraph" w:customStyle="1" w:styleId="BodySingle5">
    <w:name w:val="*Body Single 5"/>
    <w:aliases w:val="BS5"/>
    <w:basedOn w:val="Normal"/>
    <w:pPr>
      <w:spacing w:after="240"/>
      <w:ind w:firstLine="720"/>
    </w:pPr>
  </w:style>
  <w:style w:type="paragraph" w:customStyle="1" w:styleId="QuoteSingle5">
    <w:name w:val="*Quote Single 5"/>
    <w:aliases w:val="QS5"/>
    <w:basedOn w:val="Normal"/>
    <w:pPr>
      <w:spacing w:after="240"/>
      <w:ind w:left="720" w:right="720"/>
    </w:pPr>
    <w:rPr>
      <w:bCs/>
    </w:rPr>
  </w:style>
  <w:style w:type="paragraph" w:customStyle="1" w:styleId="TitleBC">
    <w:name w:val="*Title BC"/>
    <w:aliases w:val="TBC"/>
    <w:basedOn w:val="Normal"/>
    <w:pPr>
      <w:keepNext/>
      <w:spacing w:after="240"/>
      <w:jc w:val="center"/>
    </w:pPr>
    <w:rPr>
      <w:b/>
    </w:rPr>
  </w:style>
  <w:style w:type="paragraph" w:customStyle="1" w:styleId="TitleBCU">
    <w:name w:val="*Title BCU"/>
    <w:aliases w:val="TBCU"/>
    <w:basedOn w:val="Normal"/>
    <w:pPr>
      <w:keepNext/>
      <w:spacing w:after="240"/>
      <w:jc w:val="center"/>
    </w:pPr>
    <w:rPr>
      <w:b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jc w:val="left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jc w:val="left"/>
    </w:pPr>
  </w:style>
  <w:style w:type="paragraph" w:styleId="FootnoteText">
    <w:name w:val="footnote text"/>
    <w:basedOn w:val="Normal"/>
    <w:semiHidden/>
    <w:pPr>
      <w:spacing w:after="240"/>
    </w:pPr>
  </w:style>
  <w:style w:type="paragraph" w:customStyle="1" w:styleId="BodyDbl1">
    <w:name w:val="*Body Dbl 1"/>
    <w:aliases w:val="BD1"/>
    <w:basedOn w:val="Normal"/>
    <w:pPr>
      <w:spacing w:line="480" w:lineRule="auto"/>
      <w:ind w:firstLine="1440"/>
    </w:pPr>
  </w:style>
  <w:style w:type="paragraph" w:customStyle="1" w:styleId="BodyDbl5">
    <w:name w:val="*Body Dbl 5"/>
    <w:aliases w:val="BD5"/>
    <w:basedOn w:val="Normal"/>
    <w:pPr>
      <w:spacing w:line="480" w:lineRule="auto"/>
      <w:ind w:firstLine="720"/>
    </w:pPr>
  </w:style>
  <w:style w:type="paragraph" w:customStyle="1" w:styleId="BodyDblIndent1">
    <w:name w:val="*Body Dbl Indent 1"/>
    <w:aliases w:val="BDI1"/>
    <w:basedOn w:val="Normal"/>
    <w:pPr>
      <w:spacing w:line="480" w:lineRule="auto"/>
      <w:ind w:left="1440"/>
    </w:pPr>
    <w:rPr>
      <w:bCs/>
    </w:rPr>
  </w:style>
  <w:style w:type="paragraph" w:customStyle="1" w:styleId="BodyDblIndent5">
    <w:name w:val="*Body Dbl Indent 5"/>
    <w:aliases w:val="BDI5"/>
    <w:basedOn w:val="Normal"/>
    <w:pPr>
      <w:spacing w:line="480" w:lineRule="auto"/>
      <w:ind w:left="720"/>
    </w:pPr>
    <w:rPr>
      <w:bCs/>
    </w:rPr>
  </w:style>
  <w:style w:type="character" w:customStyle="1" w:styleId="LBFileStampAtCursor">
    <w:name w:val="LBFileStampAtCursor"/>
    <w:rPr>
      <w:rFonts w:ascii="Times New Roman" w:hAnsi="Times New Roman" w:cs="Times New Roman"/>
      <w:b/>
      <w:sz w:val="16"/>
      <w:szCs w:val="32"/>
    </w:rPr>
  </w:style>
  <w:style w:type="paragraph" w:customStyle="1" w:styleId="BodyDbl">
    <w:name w:val="*Body Dbl"/>
    <w:aliases w:val="BD"/>
    <w:basedOn w:val="Normal"/>
    <w:pPr>
      <w:spacing w:line="480" w:lineRule="auto"/>
    </w:pPr>
  </w:style>
  <w:style w:type="paragraph" w:customStyle="1" w:styleId="LBFileStampAtEnd">
    <w:name w:val="LBFileStampAtEnd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/>
    </w:pPr>
    <w:rPr>
      <w:b/>
      <w:bCs/>
      <w:sz w:val="16"/>
      <w:szCs w:val="32"/>
    </w:rPr>
  </w:style>
  <w:style w:type="paragraph" w:customStyle="1" w:styleId="BodySingleIndent1">
    <w:name w:val="*Body Single Indent 1"/>
    <w:aliases w:val="BSI1"/>
    <w:basedOn w:val="Normal"/>
    <w:pPr>
      <w:spacing w:after="240"/>
      <w:ind w:left="1440"/>
    </w:pPr>
    <w:rPr>
      <w:bCs/>
    </w:rPr>
  </w:style>
  <w:style w:type="paragraph" w:customStyle="1" w:styleId="BodySingleIndent5">
    <w:name w:val="*Body Single Indent 5"/>
    <w:aliases w:val="BSI5"/>
    <w:basedOn w:val="Normal"/>
    <w:pPr>
      <w:spacing w:after="240"/>
      <w:ind w:left="720"/>
    </w:pPr>
    <w:rPr>
      <w:bCs/>
    </w:rPr>
  </w:style>
  <w:style w:type="paragraph" w:customStyle="1" w:styleId="BodySingle">
    <w:name w:val="*Body Single"/>
    <w:aliases w:val="BS"/>
    <w:basedOn w:val="Normal"/>
    <w:pPr>
      <w:spacing w:after="240"/>
    </w:pPr>
  </w:style>
  <w:style w:type="paragraph" w:customStyle="1" w:styleId="FlushRightDotLeader">
    <w:name w:val="*Flush Right Dot Leader"/>
    <w:aliases w:val="FRD"/>
    <w:basedOn w:val="Normal"/>
    <w:pPr>
      <w:tabs>
        <w:tab w:val="right" w:leader="dot" w:pos="9360"/>
      </w:tabs>
      <w:spacing w:after="240"/>
      <w:contextualSpacing/>
    </w:pPr>
    <w:rPr>
      <w:szCs w:val="20"/>
    </w:rPr>
  </w:style>
  <w:style w:type="paragraph" w:customStyle="1" w:styleId="FlushRight">
    <w:name w:val="*Flush Right"/>
    <w:aliases w:val="FR"/>
    <w:basedOn w:val="Normal"/>
    <w:pPr>
      <w:tabs>
        <w:tab w:val="right" w:pos="9360"/>
      </w:tabs>
      <w:spacing w:after="240"/>
      <w:contextualSpacing/>
    </w:pPr>
  </w:style>
  <w:style w:type="paragraph" w:customStyle="1" w:styleId="QuoteDbl1">
    <w:name w:val="*Quote Dbl 1"/>
    <w:aliases w:val="QD1"/>
    <w:basedOn w:val="Normal"/>
    <w:pPr>
      <w:spacing w:line="480" w:lineRule="auto"/>
      <w:ind w:left="1440" w:right="1440"/>
    </w:pPr>
    <w:rPr>
      <w:bCs/>
      <w:szCs w:val="20"/>
    </w:rPr>
  </w:style>
  <w:style w:type="paragraph" w:customStyle="1" w:styleId="QuoteDbl15">
    <w:name w:val="*Quote Dbl 15"/>
    <w:aliases w:val="QD15"/>
    <w:basedOn w:val="Normal"/>
    <w:pPr>
      <w:spacing w:line="480" w:lineRule="auto"/>
      <w:ind w:left="1440" w:right="1440" w:firstLine="720"/>
    </w:pPr>
    <w:rPr>
      <w:bCs/>
      <w:szCs w:val="20"/>
    </w:rPr>
  </w:style>
  <w:style w:type="paragraph" w:customStyle="1" w:styleId="QuoteDbl5">
    <w:name w:val="*Quote Dbl 5"/>
    <w:aliases w:val="QD5"/>
    <w:basedOn w:val="Normal"/>
    <w:pPr>
      <w:spacing w:line="480" w:lineRule="auto"/>
      <w:ind w:left="720" w:right="720"/>
    </w:pPr>
    <w:rPr>
      <w:bCs/>
      <w:szCs w:val="20"/>
    </w:rPr>
  </w:style>
  <w:style w:type="paragraph" w:customStyle="1" w:styleId="QuoteDbl55">
    <w:name w:val="*Quote Dbl 55"/>
    <w:aliases w:val="QD55"/>
    <w:basedOn w:val="Normal"/>
    <w:pPr>
      <w:spacing w:line="480" w:lineRule="auto"/>
      <w:ind w:left="720" w:right="720" w:firstLine="720"/>
    </w:pPr>
    <w:rPr>
      <w:bCs/>
      <w:szCs w:val="20"/>
    </w:rPr>
  </w:style>
  <w:style w:type="paragraph" w:customStyle="1" w:styleId="QuoteSingle1">
    <w:name w:val="*Quote Single 1"/>
    <w:aliases w:val="QS1"/>
    <w:basedOn w:val="Normal"/>
    <w:pPr>
      <w:spacing w:after="240"/>
      <w:ind w:left="1440" w:right="1440"/>
    </w:pPr>
    <w:rPr>
      <w:bCs/>
    </w:rPr>
  </w:style>
  <w:style w:type="paragraph" w:customStyle="1" w:styleId="QuoteSingle15">
    <w:name w:val="*Quote Single 15"/>
    <w:aliases w:val="QS15"/>
    <w:basedOn w:val="Normal"/>
    <w:pPr>
      <w:spacing w:after="240"/>
      <w:ind w:left="1440" w:right="1440" w:firstLine="720"/>
    </w:pPr>
    <w:rPr>
      <w:bCs/>
      <w:szCs w:val="20"/>
    </w:rPr>
  </w:style>
  <w:style w:type="paragraph" w:customStyle="1" w:styleId="QuoteSingle55">
    <w:name w:val="*Quote Single 55"/>
    <w:aliases w:val="QS55"/>
    <w:basedOn w:val="Normal"/>
    <w:pPr>
      <w:spacing w:after="240"/>
      <w:ind w:left="720" w:right="720" w:firstLine="720"/>
    </w:pPr>
    <w:rPr>
      <w:bCs/>
    </w:rPr>
  </w:style>
  <w:style w:type="paragraph" w:customStyle="1" w:styleId="TitleB1">
    <w:name w:val="*Title B1"/>
    <w:aliases w:val="TB1"/>
    <w:basedOn w:val="Normal"/>
    <w:pPr>
      <w:keepNext/>
      <w:spacing w:after="240"/>
      <w:ind w:left="1440"/>
    </w:pPr>
    <w:rPr>
      <w:b/>
    </w:rPr>
  </w:style>
  <w:style w:type="paragraph" w:customStyle="1" w:styleId="TitleB5">
    <w:name w:val="*Title B5"/>
    <w:aliases w:val="TB5"/>
    <w:basedOn w:val="Normal"/>
    <w:pPr>
      <w:keepNext/>
      <w:spacing w:after="240"/>
      <w:ind w:left="720"/>
    </w:pPr>
    <w:rPr>
      <w:b/>
    </w:rPr>
  </w:style>
  <w:style w:type="paragraph" w:customStyle="1" w:styleId="TitleBL">
    <w:name w:val="*Title BL"/>
    <w:aliases w:val="TBL"/>
    <w:basedOn w:val="Normal"/>
    <w:pPr>
      <w:keepNext/>
      <w:spacing w:after="240"/>
    </w:pPr>
    <w:rPr>
      <w:b/>
    </w:rPr>
  </w:style>
  <w:style w:type="paragraph" w:customStyle="1" w:styleId="TitleBLU">
    <w:name w:val="*Title BLU"/>
    <w:aliases w:val="TBLU"/>
    <w:basedOn w:val="Normal"/>
    <w:pPr>
      <w:keepNext/>
      <w:spacing w:after="240"/>
    </w:pPr>
    <w:rPr>
      <w:b/>
      <w:u w:val="single"/>
    </w:rPr>
  </w:style>
  <w:style w:type="paragraph" w:customStyle="1" w:styleId="TitleBU1">
    <w:name w:val="*Title BU1"/>
    <w:aliases w:val="TBU1"/>
    <w:basedOn w:val="Normal"/>
    <w:pPr>
      <w:keepNext/>
      <w:spacing w:after="240"/>
      <w:ind w:left="1440"/>
    </w:pPr>
    <w:rPr>
      <w:b/>
      <w:u w:val="single"/>
    </w:rPr>
  </w:style>
  <w:style w:type="paragraph" w:customStyle="1" w:styleId="TitleBU5">
    <w:name w:val="*Title BU5"/>
    <w:aliases w:val="TBU5"/>
    <w:basedOn w:val="Normal"/>
    <w:pPr>
      <w:keepNext/>
      <w:spacing w:after="240"/>
      <w:ind w:left="720"/>
    </w:pPr>
    <w:rPr>
      <w:b/>
      <w:u w:val="single"/>
    </w:rPr>
  </w:style>
  <w:style w:type="paragraph" w:customStyle="1" w:styleId="TitleC">
    <w:name w:val="*Title C"/>
    <w:aliases w:val="TC"/>
    <w:basedOn w:val="Normal"/>
    <w:pPr>
      <w:keepNext/>
      <w:spacing w:after="240"/>
      <w:jc w:val="center"/>
    </w:pPr>
  </w:style>
  <w:style w:type="paragraph" w:customStyle="1" w:styleId="TitleCU">
    <w:name w:val="*Title CU"/>
    <w:aliases w:val="TCU"/>
    <w:basedOn w:val="Normal"/>
    <w:pPr>
      <w:keepNext/>
      <w:spacing w:after="240"/>
      <w:jc w:val="center"/>
    </w:pPr>
    <w:rPr>
      <w:u w:val="single"/>
    </w:rPr>
  </w:style>
  <w:style w:type="paragraph" w:customStyle="1" w:styleId="TitleL">
    <w:name w:val="*Title L"/>
    <w:aliases w:val="TL"/>
    <w:basedOn w:val="Normal"/>
    <w:pPr>
      <w:keepNext/>
      <w:spacing w:after="240"/>
    </w:pPr>
  </w:style>
  <w:style w:type="paragraph" w:customStyle="1" w:styleId="TitleLU">
    <w:name w:val="*Title LU"/>
    <w:aliases w:val="TLU"/>
    <w:basedOn w:val="Normal"/>
    <w:pPr>
      <w:keepNext/>
      <w:spacing w:after="240"/>
    </w:pPr>
    <w:rPr>
      <w:u w:val="single"/>
    </w:rPr>
  </w:style>
  <w:style w:type="paragraph" w:customStyle="1" w:styleId="TitleU1">
    <w:name w:val="*Title U1"/>
    <w:aliases w:val="TU1"/>
    <w:basedOn w:val="Normal"/>
    <w:pPr>
      <w:keepNext/>
      <w:spacing w:after="240"/>
      <w:ind w:left="1440"/>
    </w:pPr>
    <w:rPr>
      <w:u w:val="single"/>
    </w:rPr>
  </w:style>
  <w:style w:type="paragraph" w:customStyle="1" w:styleId="TitleU5">
    <w:name w:val="*Title U5"/>
    <w:aliases w:val="TU5"/>
    <w:basedOn w:val="Normal"/>
    <w:pPr>
      <w:keepNext/>
      <w:spacing w:after="240"/>
      <w:ind w:left="720"/>
    </w:pPr>
    <w:rPr>
      <w:u w:val="single"/>
    </w:rPr>
  </w:style>
  <w:style w:type="paragraph" w:customStyle="1" w:styleId="ShortLines5">
    <w:name w:val="*Short Lines .5"/>
    <w:aliases w:val="SL5"/>
    <w:basedOn w:val="Normal"/>
    <w:pPr>
      <w:spacing w:after="240"/>
      <w:ind w:left="720"/>
      <w:contextualSpacing/>
      <w:jc w:val="left"/>
    </w:pPr>
  </w:style>
  <w:style w:type="paragraph" w:customStyle="1" w:styleId="ShortLines1">
    <w:name w:val="*Short Lines 1"/>
    <w:aliases w:val="SL1"/>
    <w:basedOn w:val="Normal"/>
    <w:pPr>
      <w:spacing w:after="240"/>
      <w:ind w:left="1440"/>
      <w:contextualSpacing/>
      <w:jc w:val="left"/>
    </w:pPr>
  </w:style>
  <w:style w:type="paragraph" w:customStyle="1" w:styleId="ShortLines">
    <w:name w:val="*Short Lines"/>
    <w:aliases w:val="SL"/>
    <w:basedOn w:val="Normal"/>
    <w:pPr>
      <w:spacing w:after="240"/>
      <w:contextualSpacing/>
      <w:jc w:val="left"/>
    </w:pPr>
  </w:style>
  <w:style w:type="paragraph" w:styleId="Signature">
    <w:name w:val="Signature"/>
    <w:basedOn w:val="Normal"/>
    <w:pPr>
      <w:keepNext/>
      <w:spacing w:after="240"/>
      <w:ind w:left="4320"/>
      <w:contextualSpacing/>
      <w:jc w:val="left"/>
    </w:pPr>
  </w:style>
  <w:style w:type="paragraph" w:customStyle="1" w:styleId="Break">
    <w:name w:val="*Break"/>
    <w:aliases w:val="BRK"/>
    <w:basedOn w:val="Normal"/>
    <w:pPr>
      <w:widowControl w:val="0"/>
      <w:jc w:val="left"/>
    </w:pPr>
  </w:style>
  <w:style w:type="paragraph" w:customStyle="1" w:styleId="TagLineFooter">
    <w:name w:val="*TagLine Footer"/>
    <w:aliases w:val="TGF"/>
    <w:basedOn w:val="Break"/>
    <w:rPr>
      <w:sz w:val="16"/>
    </w:rPr>
  </w:style>
  <w:style w:type="paragraph" w:customStyle="1" w:styleId="TagLine">
    <w:name w:val="*TagLine"/>
    <w:aliases w:val="TGL"/>
    <w:basedOn w:val="Normal"/>
    <w:pPr>
      <w:spacing w:before="360"/>
      <w:jc w:val="lef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numbering" w:styleId="111111">
    <w:name w:val="Outline List 2"/>
    <w:basedOn w:val="NoList"/>
    <w:pPr>
      <w:numPr>
        <w:numId w:val="11"/>
      </w:numPr>
    </w:pPr>
  </w:style>
  <w:style w:type="numbering" w:styleId="ArticleSection">
    <w:name w:val="Outline List 3"/>
    <w:basedOn w:val="NoList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47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8CB"/>
    <w:rPr>
      <w:rFonts w:ascii="Tahoma" w:hAnsi="Tahoma" w:cs="Tahoma"/>
      <w:sz w:val="16"/>
      <w:szCs w:val="16"/>
    </w:rPr>
  </w:style>
  <w:style w:type="paragraph" w:customStyle="1" w:styleId="FS">
    <w:name w:val="FS"/>
    <w:aliases w:val="File Stamp"/>
    <w:basedOn w:val="Normal"/>
    <w:rsid w:val="004768CB"/>
    <w:pPr>
      <w:spacing w:before="360"/>
      <w:jc w:val="left"/>
    </w:pPr>
    <w:rPr>
      <w:rFonts w:asciiTheme="minorHAnsi" w:hAnsiTheme="minorHAnsi"/>
      <w:sz w:val="16"/>
    </w:rPr>
  </w:style>
  <w:style w:type="paragraph" w:customStyle="1" w:styleId="FSF">
    <w:name w:val="FSF"/>
    <w:aliases w:val="File Stamp Footer"/>
    <w:basedOn w:val="Normal"/>
    <w:rsid w:val="004768CB"/>
    <w:pPr>
      <w:jc w:val="left"/>
    </w:pPr>
    <w:rPr>
      <w:rFonts w:asciiTheme="minorHAnsi" w:hAnsiTheme="minorHAnsi"/>
      <w:bCs/>
      <w:sz w:val="16"/>
    </w:rPr>
  </w:style>
  <w:style w:type="character" w:styleId="FollowedHyperlink">
    <w:name w:val="FollowedHyperlink"/>
    <w:basedOn w:val="DefaultParagraphFont"/>
    <w:semiHidden/>
    <w:unhideWhenUsed/>
    <w:rsid w:val="00FC0CE6"/>
    <w:rPr>
      <w:color w:val="800080" w:themeColor="followedHyperlink"/>
      <w:u w:val="single"/>
    </w:rPr>
  </w:style>
  <w:style w:type="paragraph" w:customStyle="1" w:styleId="FileStampParagraph">
    <w:name w:val="File Stamp Paragraph"/>
    <w:basedOn w:val="Normal"/>
    <w:link w:val="FileStampParagraphChar"/>
    <w:qFormat/>
    <w:rsid w:val="001530BB"/>
    <w:pPr>
      <w:spacing w:after="160" w:line="259" w:lineRule="auto"/>
      <w:jc w:val="left"/>
    </w:pPr>
    <w:rPr>
      <w:rFonts w:ascii="Calibri" w:hAnsi="Calibri" w:cstheme="minorBidi"/>
      <w:sz w:val="16"/>
    </w:rPr>
  </w:style>
  <w:style w:type="character" w:customStyle="1" w:styleId="FileStampParagraphChar">
    <w:name w:val="File Stamp Paragraph Char"/>
    <w:basedOn w:val="DefaultParagraphFont"/>
    <w:link w:val="FileStampParagraph"/>
    <w:rsid w:val="001530BB"/>
    <w:rPr>
      <w:rFonts w:ascii="Calibri" w:hAnsi="Calibri" w:cstheme="minorBidi"/>
      <w:sz w:val="16"/>
      <w:szCs w:val="24"/>
    </w:rPr>
  </w:style>
  <w:style w:type="character" w:customStyle="1" w:styleId="FileStampCharacter">
    <w:name w:val="File Stamp Character"/>
    <w:basedOn w:val="DefaultParagraphFont"/>
    <w:uiPriority w:val="1"/>
    <w:qFormat/>
    <w:rsid w:val="001530BB"/>
    <w:rPr>
      <w:rFonts w:ascii="Calibri" w:hAnsi="Calibri" w:cstheme="minorBid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snapToGrid w:val="0"/>
      <w:vanish w:val="0"/>
      <w:color w:val="auto"/>
      <w:spacing w:val="0"/>
      <w:w w:val="100"/>
      <w:kern w:val="0"/>
      <w:position w:val="0"/>
      <w:sz w:val="16"/>
      <w:u w:val="none"/>
      <w:effect w:val="none"/>
      <w:bdr w:val="none" w:sz="0" w:space="0" w:color="auto"/>
      <w:vertAlign w:val="baseline"/>
      <w:em w:val="none"/>
      <w:lang w:val="en-US"/>
    </w:rPr>
  </w:style>
  <w:style w:type="character" w:styleId="PlaceholderText">
    <w:name w:val="Placeholder Text"/>
    <w:basedOn w:val="DefaultParagraphFont"/>
    <w:uiPriority w:val="99"/>
    <w:semiHidden/>
    <w:rsid w:val="00153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yperlink" Target="mailto:andrewpayton@wyattfirm.com" TargetMode="Externa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http://www.wyattfirm.com/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advancelaw.com/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imanag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LegalBar\Templates\Press%20Release%20Template%20-%20December%202020%20-%20New%20Logo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B5B04646D6480EB6AC04595DB7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54A6-1756-49BA-B2CC-680588BA19B4}"/>
      </w:docPartPr>
      <w:docPartBody>
        <w:p w:rsidR="00000000" w:rsidRDefault="00286344"/>
      </w:docPartBody>
    </w:docPart>
    <w:docPart>
      <w:docPartPr>
        <w:name w:val="3A46A793A4B24F208B5A89CC971B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8183-4289-4221-8BCB-E663B61B5388}"/>
      </w:docPartPr>
      <w:docPartBody>
        <w:p w:rsidR="00000000" w:rsidRDefault="00286344"/>
      </w:docPartBody>
    </w:docPart>
    <w:docPart>
      <w:docPartPr>
        <w:name w:val="0E965803628241B6BD7DB4B15240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D764-BE17-48FE-B385-5B37D0E20441}"/>
      </w:docPartPr>
      <w:docPartBody>
        <w:p w:rsidR="00000000" w:rsidRDefault="00286344"/>
      </w:docPartBody>
    </w:docPart>
    <w:docPart>
      <w:docPartPr>
        <w:name w:val="3F6FDC8B10C0406C8B5D1256DFE1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AA51-A382-458B-9698-EA87AA2DE06A}"/>
      </w:docPartPr>
      <w:docPartBody>
        <w:p w:rsidR="00000000" w:rsidRDefault="002863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44"/>
    <w:rsid w:val="002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3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Roboto Slab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 W Y A T T D A T A ! 1 0 0 8 5 9 1 5 9 . 1 < / d o c u m e n t i d >  
     < s e n d e r i d > D S C H I F F E R D E C K E R < / s e n d e r i d >  
     < s e n d e r e m a i l > D S C H I F F E R D E C K E R @ W Y A T T F I R M . C O M < / s e n d e r e m a i l >  
     < l a s t m o d i f i e d > 2 0 2 2 - 0 8 - 1 8 T 1 3 : 1 0 : 0 0 . 0 0 0 0 0 0 0 - 0 4 : 0 0 < / l a s t m o d i f i e d >  
     < d a t a b a s e > W Y A T T D A T A < / d a t a b a s e >  
 < / p r o p e r t i e s > 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filestamp xmlns="http://schemas.beclegal.com/legalbar/filestamp">
  <CurrentDate>8/18/2022</CurrentDate>
  <CurrentTime>1:10 PM</CurrentTime>
  <Author>DSCHIFFERDECKER</Author>
  <Typist>DSCHIFFERDECKER</Typist>
  <Class>EMAIL_CORRESPONDENCE</Class>
  <SubClass/>
  <FileName/>
  <DescriptiveName>Press Release - Best Lawyers Lawyers of the Year 2023 Edition</DescriptiveName>
  <DMLibrary>WYATTDATA</DMLibrary>
  <FileStampFormatID>1</FileStampFormatID>
  <Placement>EndOfDocument</Placement>
  <Client>000001</Client>
  <Matter>000003</Matter>
  <DocNumber>100859159</DocNumber>
  <Version>1</Version>
  <IWL>iwl:dms=WYATTFIRM.IMANAGE.WORK&amp;&amp;lib=WYATTDATA&amp;&amp;num=100859159&amp;&amp;ver=1</IWL>
  <DMCustom1>000001</DMCustom1>
  <DMCustom1Description>WYATT, TARRANT &amp; COMBS, LLP</DMCustom1Description>
  <DMCustom2>000003</DMCustom2>
  <DMCustom2Description>MARKETING</DMCustom2Description>
  <DMCustom3/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>MARKETING</DMCustom29>
  <DMCustom30/>
  <DMCustom31/>
  <Stamp xmlns="">
    <Format>DocNumber;Text:.;Version;</Format>
    <Value>100859159.1</Value>
  </Stamp>
  <FilePath>C:\Users\dschifferdecker\AppData\Roaming\iManage\Work\Recent\WYATT_ TARRANT _ COMBS_ LLP - MARKETING (000001.000003)\Press Release - Best Lawyers Lawyers of the Year 2023 Edition(100859159.1).docx</FilePath>
</filestamp>
</file>

<file path=customXml/itemProps2.xml><?xml version="1.0" encoding="utf-8"?>
<ds:datastoreItem xmlns:ds="http://schemas.openxmlformats.org/officeDocument/2006/customXml" ds:itemID="{EEB3AB9A-1C35-4284-A11F-BCEDC1E68208}">
  <ds:schemaRefs>
    <ds:schemaRef ds:uri="http://schemas.beclegal.com/legalbar/filestamp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- December 2020 - New Logo.docx.dotx</Template>
  <TotalTime>6</TotalTime>
  <Pages>2</Pages>
  <Words>312</Words>
  <Characters>2029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TITLE</vt:lpstr>
    </vt:vector>
  </TitlesOfParts>
  <Company>Wyatt, Tarrant &amp; Combs, LLP</Company>
  <LinksUpToDate>false</LinksUpToDate>
  <CharactersWithSpaces>2311</CharactersWithSpaces>
  <SharedDoc>false</SharedDoc>
  <HLinks>
    <vt:vector size="54" baseType="variant">
      <vt:variant>
        <vt:i4>7602236</vt:i4>
      </vt:variant>
      <vt:variant>
        <vt:i4>24</vt:i4>
      </vt:variant>
      <vt:variant>
        <vt:i4>0</vt:i4>
      </vt:variant>
      <vt:variant>
        <vt:i4>5</vt:i4>
      </vt:variant>
      <vt:variant>
        <vt:lpwstr>https://plus.google.com/+Wyattfirm</vt:lpwstr>
      </vt:variant>
      <vt:variant>
        <vt:lpwstr>+Wyattfirm/posts</vt:lpwstr>
      </vt:variant>
      <vt:variant>
        <vt:i4>524379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https://twitter.com/WyattLLP</vt:lpwstr>
      </vt:variant>
      <vt:variant>
        <vt:lpwstr/>
      </vt:variant>
      <vt:variant>
        <vt:i4>4128811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https://www.facebook.com/pages/Wyatt-Tarrant-Combs-LLP/223134837716706</vt:lpwstr>
      </vt:variant>
      <vt:variant>
        <vt:lpwstr/>
      </vt:variant>
      <vt:variant>
        <vt:i4>262150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http://www.linkedin.com/company/wyatt-tarrant-&amp;-combs-llp</vt:lpwstr>
      </vt:variant>
      <vt:variant>
        <vt:lpwstr/>
      </vt:variant>
      <vt:variant>
        <vt:i4>8126559</vt:i4>
      </vt:variant>
      <vt:variant>
        <vt:i4>12</vt:i4>
      </vt:variant>
      <vt:variant>
        <vt:i4>0</vt:i4>
      </vt:variant>
      <vt:variant>
        <vt:i4>5</vt:i4>
      </vt:variant>
      <vt:variant>
        <vt:lpwstr>mailto:andrewpayton@wyattfirm.com</vt:lpwstr>
      </vt:variant>
      <vt:variant>
        <vt:lpwstr/>
      </vt:variant>
      <vt:variant>
        <vt:i4>4390920</vt:i4>
      </vt:variant>
      <vt:variant>
        <vt:i4>9</vt:i4>
      </vt:variant>
      <vt:variant>
        <vt:i4>0</vt:i4>
      </vt:variant>
      <vt:variant>
        <vt:i4>5</vt:i4>
      </vt:variant>
      <vt:variant>
        <vt:lpwstr>http://www.wyattfirm.com/</vt:lpwstr>
      </vt:variant>
      <vt:variant>
        <vt:lpwstr/>
      </vt:variant>
      <vt:variant>
        <vt:i4>3670051</vt:i4>
      </vt:variant>
      <vt:variant>
        <vt:i4>6</vt:i4>
      </vt:variant>
      <vt:variant>
        <vt:i4>0</vt:i4>
      </vt:variant>
      <vt:variant>
        <vt:i4>5</vt:i4>
      </vt:variant>
      <vt:variant>
        <vt:lpwstr>http://www.advancelaw.com/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http://www.lexmundi.com/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http://www.dupontlegalmodel.com/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</dc:title>
  <dc:subject/>
  <dc:creator>Schifferdecker, Dianne</dc:creator>
  <cp:keywords/>
  <dc:description/>
  <cp:lastModifiedBy>Schifferdecker, Dianne</cp:lastModifiedBy>
  <cp:revision>2</cp:revision>
  <cp:lastPrinted>2019-09-09T17:50:00Z</cp:lastPrinted>
  <dcterms:created xsi:type="dcterms:W3CDTF">2022-08-18T17:04:00Z</dcterms:created>
  <dcterms:modified xsi:type="dcterms:W3CDTF">2022-08-18T17:10:00Z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VersionNumber">
    <vt:lpwstr>.1</vt:lpwstr>
  </property>
</Properties>
</file>